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414EBC16" w14:textId="77777777" w:rsidR="00B129AA" w:rsidRDefault="00B129AA" w:rsidP="00B12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97176"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приступила к реализации мероприятий по переводу в электронный вид реестровых дел федерального проекта «Национальная система пространственных данных»</w:t>
      </w:r>
      <w:r>
        <w:rPr>
          <w:rFonts w:ascii="Times New Roman" w:hAnsi="Times New Roman" w:cs="Times New Roman"/>
          <w:sz w:val="28"/>
        </w:rPr>
        <w:t xml:space="preserve"> </w:t>
      </w:r>
    </w:p>
    <w:p w14:paraId="295BC4C6" w14:textId="77777777" w:rsidR="00B129AA" w:rsidRPr="00B129AA" w:rsidRDefault="00B129AA" w:rsidP="00B12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04926699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5A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Волгоградской области перевела в электронный формат </w:t>
      </w:r>
      <w:r>
        <w:rPr>
          <w:rFonts w:ascii="Times New Roman" w:hAnsi="Times New Roman" w:cs="Times New Roman"/>
          <w:b/>
          <w:sz w:val="28"/>
          <w:szCs w:val="28"/>
        </w:rPr>
        <w:t xml:space="preserve">до 31.03.2022 </w:t>
      </w:r>
      <w:r w:rsidRPr="00C765A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6F2E1F">
        <w:rPr>
          <w:rFonts w:ascii="Times New Roman" w:hAnsi="Times New Roman" w:cs="Times New Roman"/>
          <w:b/>
          <w:sz w:val="28"/>
          <w:szCs w:val="28"/>
        </w:rPr>
        <w:t>434 тыс</w:t>
      </w:r>
      <w:r w:rsidRPr="00C765AE">
        <w:rPr>
          <w:rFonts w:ascii="Times New Roman" w:hAnsi="Times New Roman" w:cs="Times New Roman"/>
          <w:b/>
          <w:sz w:val="28"/>
          <w:szCs w:val="28"/>
        </w:rPr>
        <w:t xml:space="preserve">. кадастровых дел, что составляет </w:t>
      </w:r>
      <w:r w:rsidRPr="006F2E1F">
        <w:rPr>
          <w:rFonts w:ascii="Times New Roman" w:hAnsi="Times New Roman" w:cs="Times New Roman"/>
          <w:b/>
          <w:sz w:val="28"/>
          <w:szCs w:val="28"/>
        </w:rPr>
        <w:t>66,8%</w:t>
      </w:r>
      <w:r w:rsidRPr="00C765AE">
        <w:rPr>
          <w:rFonts w:ascii="Times New Roman" w:hAnsi="Times New Roman" w:cs="Times New Roman"/>
          <w:b/>
          <w:sz w:val="28"/>
          <w:szCs w:val="28"/>
        </w:rPr>
        <w:t xml:space="preserve"> от всех кадастровых документов, находящихся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хранении в архиве учреждения, и приступила с 01.04.2022 </w:t>
      </w:r>
      <w:r w:rsidRPr="00675263">
        <w:rPr>
          <w:rFonts w:ascii="Times New Roman" w:hAnsi="Times New Roman" w:cs="Times New Roman"/>
          <w:b/>
          <w:sz w:val="28"/>
          <w:szCs w:val="28"/>
        </w:rPr>
        <w:t>к реализации мероприятий по переводу в электронный вид реестровых 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(дел правоустанавливающих документов и кадастровых дел)</w:t>
      </w:r>
      <w:r w:rsidRPr="00675263">
        <w:rPr>
          <w:rFonts w:ascii="Times New Roman" w:hAnsi="Times New Roman" w:cs="Times New Roman"/>
          <w:b/>
          <w:sz w:val="28"/>
          <w:szCs w:val="28"/>
        </w:rPr>
        <w:t xml:space="preserve"> федерального проекта «Национальная система пространственных данных»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F769D72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1E0">
        <w:rPr>
          <w:rFonts w:ascii="Times New Roman" w:hAnsi="Times New Roman" w:cs="Times New Roman"/>
          <w:sz w:val="28"/>
          <w:szCs w:val="28"/>
        </w:rPr>
        <w:t>В соответствии с утвержденным Планом-графиком перевода реестровых дел (дел правоустанавливающих документов и кадастровых дел) в электронный вид в рамках государственной программы Российской Федерации «Национальная система пространственных данных» на 2022 год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палате по Волгоградской области предстоит до конца 2022 года перевести в электронный вид 229832  реестровых дел (томов дел правоустанавливающих документов и кадастровых дел, сформированных на бумажном носителе до 01.01.2017 года), в том числе за апрель и май 2022 года  надлежало перевести в электронный вид 8736 реестровых дел( томов реестровых дел).</w:t>
      </w:r>
    </w:p>
    <w:p w14:paraId="04832284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в апреле и мае 2022 года Кадастровая палата по Волгоградской области успешно выполнила установленные показатели – переведено в электронный вид 9297 реестровых дел (томов реестровых дел, сформированных до 01.01.2017 на бумажном носителе).</w:t>
      </w:r>
    </w:p>
    <w:p w14:paraId="35CFDE6C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переводу в электронный вид реестровых дел Кадастровая палата по Волгоградской области проводит работу по подбору персонала для проведения работ по сканированию документов –  формированию кадрового резерва в объеме, необходимом для успешного выполнения поставленных задач.</w:t>
      </w:r>
    </w:p>
    <w:p w14:paraId="02949F1E" w14:textId="77777777" w:rsidR="00B129AA" w:rsidRPr="00845620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1E0">
        <w:rPr>
          <w:rFonts w:ascii="Times New Roman" w:hAnsi="Times New Roman" w:cs="Times New Roman"/>
          <w:sz w:val="28"/>
          <w:szCs w:val="28"/>
        </w:rPr>
        <w:t xml:space="preserve"> </w:t>
      </w:r>
      <w:r w:rsidRPr="00675263">
        <w:rPr>
          <w:rFonts w:ascii="Times New Roman" w:hAnsi="Times New Roman" w:cs="Times New Roman"/>
          <w:sz w:val="28"/>
          <w:szCs w:val="28"/>
        </w:rPr>
        <w:t>Перевод</w:t>
      </w:r>
      <w:r w:rsidRPr="0067526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811A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документов в цифровой формат позволяет повысить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качество и </w:t>
      </w:r>
      <w:r w:rsidRPr="00811A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скорость оказания услуг вне зависимости от месторасположения объектов недвижимости, то есть экстерриториально.</w:t>
      </w:r>
    </w:p>
    <w:p w14:paraId="1AA8F920" w14:textId="77777777" w:rsidR="00B129AA" w:rsidRPr="00845620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Собственники недви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мости или их законные представители могут обратиться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Кадастровую палату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запросом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лении копий отдельных документов, на основании которых сведения об объекте недвижимости внесены в Единый государственный реестр недвижимости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>аще всего необходимост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получения таких документов во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зникает при </w:t>
      </w:r>
      <w:r w:rsidRPr="00C640A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различных сделок с недвижимостью, а также для урегулирования земельных споров.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3F3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подается 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 на получение копий </w:t>
      </w:r>
      <w:r w:rsidRPr="00C64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межевого или технического 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планов, материалов, подтверждающих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принадлежность,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надела к той или иной земельной категории или виду разрешенного использования. Зачастую гражданам или компаниям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вида разрешенного использования земли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изменения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назначения помещения и проче</w:t>
      </w:r>
      <w:r w:rsidRPr="00845620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Копия договора купли-продажи может понадобиться гражданам при подаче деклараций в налоговые органы, например, для получения налогового вычета за покупку недвижимости.</w:t>
      </w:r>
    </w:p>
    <w:p w14:paraId="5F69EF15" w14:textId="77777777" w:rsidR="00B129AA" w:rsidRPr="00845620" w:rsidRDefault="00B129AA" w:rsidP="00B129A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5620">
        <w:rPr>
          <w:i/>
          <w:sz w:val="28"/>
          <w:szCs w:val="28"/>
        </w:rPr>
        <w:t>«</w:t>
      </w:r>
      <w:r w:rsidRPr="00845620">
        <w:rPr>
          <w:i/>
          <w:sz w:val="28"/>
          <w:szCs w:val="28"/>
          <w:shd w:val="clear" w:color="auto" w:fill="FFFFFF"/>
        </w:rPr>
        <w:t>Оцифровка архива позволяет р</w:t>
      </w:r>
      <w:r>
        <w:rPr>
          <w:i/>
          <w:sz w:val="28"/>
          <w:szCs w:val="28"/>
          <w:shd w:val="clear" w:color="auto" w:fill="FFFFFF"/>
        </w:rPr>
        <w:t>ешать</w:t>
      </w:r>
      <w:r w:rsidRPr="00845620">
        <w:rPr>
          <w:i/>
          <w:sz w:val="28"/>
          <w:szCs w:val="28"/>
          <w:shd w:val="clear" w:color="auto" w:fill="FFFFFF"/>
        </w:rPr>
        <w:t xml:space="preserve"> задачи не только долговременного хранения информации</w:t>
      </w:r>
      <w:r>
        <w:rPr>
          <w:i/>
          <w:sz w:val="28"/>
          <w:szCs w:val="28"/>
          <w:shd w:val="clear" w:color="auto" w:fill="FFFFFF"/>
        </w:rPr>
        <w:t xml:space="preserve"> и документов, но и</w:t>
      </w:r>
      <w:r w:rsidRPr="00845620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 xml:space="preserve">их </w:t>
      </w:r>
      <w:r w:rsidRPr="00845620">
        <w:rPr>
          <w:i/>
          <w:sz w:val="28"/>
          <w:szCs w:val="28"/>
          <w:shd w:val="clear" w:color="auto" w:fill="FFFFFF"/>
        </w:rPr>
        <w:t>оперативно</w:t>
      </w:r>
      <w:r>
        <w:rPr>
          <w:i/>
          <w:sz w:val="28"/>
          <w:szCs w:val="28"/>
          <w:shd w:val="clear" w:color="auto" w:fill="FFFFFF"/>
        </w:rPr>
        <w:t xml:space="preserve">го использования, в том числе </w:t>
      </w:r>
      <w:r w:rsidRPr="00845620">
        <w:rPr>
          <w:i/>
          <w:sz w:val="28"/>
          <w:szCs w:val="28"/>
          <w:shd w:val="clear" w:color="auto" w:fill="FFFFFF"/>
        </w:rPr>
        <w:t>проводить операции с недвижимым имуществом по экстерриториальному принципу, то есть вне зависимости от места расположения объекта недвижимости.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845620">
        <w:rPr>
          <w:i/>
          <w:sz w:val="28"/>
          <w:szCs w:val="28"/>
          <w:shd w:val="clear" w:color="auto" w:fill="FFFFFF"/>
        </w:rPr>
        <w:t xml:space="preserve">К </w:t>
      </w:r>
      <w:r>
        <w:rPr>
          <w:i/>
          <w:sz w:val="28"/>
          <w:szCs w:val="28"/>
          <w:shd w:val="clear" w:color="auto" w:fill="FFFFFF"/>
        </w:rPr>
        <w:t>примеру, житель Дальневосточного региона</w:t>
      </w:r>
      <w:r w:rsidRPr="00845620">
        <w:rPr>
          <w:i/>
          <w:sz w:val="28"/>
          <w:szCs w:val="28"/>
          <w:shd w:val="clear" w:color="auto" w:fill="FFFFFF"/>
        </w:rPr>
        <w:t xml:space="preserve">, унаследовавший дом в </w:t>
      </w:r>
      <w:r>
        <w:rPr>
          <w:i/>
          <w:sz w:val="28"/>
          <w:szCs w:val="28"/>
          <w:shd w:val="clear" w:color="auto" w:fill="FFFFFF"/>
        </w:rPr>
        <w:t xml:space="preserve">Волгоградской </w:t>
      </w:r>
      <w:r w:rsidRPr="00845620">
        <w:rPr>
          <w:i/>
          <w:sz w:val="28"/>
          <w:szCs w:val="28"/>
          <w:shd w:val="clear" w:color="auto" w:fill="FFFFFF"/>
        </w:rPr>
        <w:t xml:space="preserve">области, может оформить недвижимость, не выезжая за пределы своего региона. </w:t>
      </w:r>
      <w:r>
        <w:rPr>
          <w:i/>
          <w:sz w:val="28"/>
          <w:szCs w:val="28"/>
          <w:shd w:val="clear" w:color="auto" w:fill="FFFFFF"/>
        </w:rPr>
        <w:t xml:space="preserve">Также, </w:t>
      </w:r>
      <w:r w:rsidRPr="00845620">
        <w:rPr>
          <w:i/>
          <w:sz w:val="28"/>
          <w:szCs w:val="28"/>
          <w:shd w:val="clear" w:color="auto" w:fill="FFFFFF"/>
        </w:rPr>
        <w:t xml:space="preserve">когда заявитель запрашивает копию архивного документа, который еще не оцифрован, </w:t>
      </w:r>
      <w:r w:rsidRPr="00191C72">
        <w:rPr>
          <w:i/>
          <w:sz w:val="28"/>
          <w:szCs w:val="28"/>
          <w:shd w:val="clear" w:color="auto" w:fill="FFFFFF"/>
        </w:rPr>
        <w:t xml:space="preserve">производится </w:t>
      </w:r>
      <w:proofErr w:type="spellStart"/>
      <w:r w:rsidRPr="00191C72">
        <w:rPr>
          <w:i/>
          <w:sz w:val="28"/>
          <w:szCs w:val="28"/>
          <w:shd w:val="clear" w:color="auto" w:fill="FFFFFF"/>
        </w:rPr>
        <w:t>ретросканирование</w:t>
      </w:r>
      <w:proofErr w:type="spellEnd"/>
      <w:r w:rsidRPr="00191C72">
        <w:rPr>
          <w:i/>
          <w:sz w:val="28"/>
          <w:szCs w:val="28"/>
          <w:shd w:val="clear" w:color="auto" w:fill="FFFFFF"/>
        </w:rPr>
        <w:t xml:space="preserve"> по запросам, то есть </w:t>
      </w:r>
      <w:r>
        <w:rPr>
          <w:i/>
          <w:sz w:val="28"/>
          <w:szCs w:val="28"/>
          <w:shd w:val="clear" w:color="auto" w:fill="FFFFFF"/>
        </w:rPr>
        <w:t xml:space="preserve">том реестрового </w:t>
      </w:r>
      <w:r w:rsidRPr="00191C72">
        <w:rPr>
          <w:i/>
          <w:sz w:val="28"/>
          <w:szCs w:val="28"/>
          <w:shd w:val="clear" w:color="auto" w:fill="FFFFFF"/>
        </w:rPr>
        <w:t>дела по данному запросу сканируется вне очереди</w:t>
      </w:r>
      <w:r w:rsidRPr="00191C72">
        <w:rPr>
          <w:i/>
          <w:sz w:val="28"/>
          <w:szCs w:val="28"/>
        </w:rPr>
        <w:t>»</w:t>
      </w:r>
      <w:r w:rsidRPr="00191C72">
        <w:rPr>
          <w:sz w:val="28"/>
          <w:szCs w:val="28"/>
        </w:rPr>
        <w:t>, –</w:t>
      </w:r>
      <w:r w:rsidRPr="00845620">
        <w:rPr>
          <w:sz w:val="28"/>
          <w:szCs w:val="28"/>
        </w:rPr>
        <w:t xml:space="preserve"> отмечает</w:t>
      </w:r>
      <w:r w:rsidRPr="00845620">
        <w:rPr>
          <w:b/>
          <w:bCs/>
          <w:sz w:val="28"/>
          <w:szCs w:val="28"/>
        </w:rPr>
        <w:t xml:space="preserve"> </w:t>
      </w:r>
      <w:r w:rsidRPr="004738C7">
        <w:rPr>
          <w:b/>
          <w:bCs/>
          <w:sz w:val="28"/>
          <w:szCs w:val="28"/>
        </w:rPr>
        <w:t xml:space="preserve">заместитель директора - главный технолог </w:t>
      </w:r>
      <w:r w:rsidRPr="00845620">
        <w:rPr>
          <w:b/>
          <w:bCs/>
          <w:sz w:val="28"/>
          <w:szCs w:val="28"/>
        </w:rPr>
        <w:t xml:space="preserve">Кадастровой палаты по Волгоградской области </w:t>
      </w:r>
      <w:r>
        <w:rPr>
          <w:b/>
          <w:bCs/>
          <w:sz w:val="28"/>
          <w:szCs w:val="28"/>
        </w:rPr>
        <w:t>Елена Баева</w:t>
      </w:r>
      <w:r w:rsidRPr="00845620">
        <w:rPr>
          <w:b/>
          <w:bCs/>
          <w:sz w:val="28"/>
          <w:szCs w:val="28"/>
        </w:rPr>
        <w:t>.</w:t>
      </w:r>
    </w:p>
    <w:p w14:paraId="7E05DAC8" w14:textId="77777777" w:rsidR="00B129AA" w:rsidRDefault="00B129AA" w:rsidP="00B129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20">
        <w:rPr>
          <w:rFonts w:ascii="Times New Roman" w:hAnsi="Times New Roman" w:cs="Times New Roman"/>
          <w:sz w:val="28"/>
          <w:szCs w:val="28"/>
        </w:rPr>
        <w:t xml:space="preserve">Копию архивного документа можно получить как на бумаге, так и в электронном виде. Электронный документ заверяется цифровой подписью и имеет такую же </w:t>
      </w:r>
      <w:r>
        <w:rPr>
          <w:rFonts w:ascii="Times New Roman" w:hAnsi="Times New Roman" w:cs="Times New Roman"/>
          <w:sz w:val="28"/>
          <w:szCs w:val="28"/>
        </w:rPr>
        <w:t>юридическую силу, что и бумажная версия</w:t>
      </w:r>
      <w:r w:rsidRPr="00845620">
        <w:rPr>
          <w:rFonts w:ascii="Times New Roman" w:hAnsi="Times New Roman" w:cs="Times New Roman"/>
          <w:sz w:val="28"/>
          <w:szCs w:val="28"/>
        </w:rPr>
        <w:t xml:space="preserve">. Выдача сведений из архива занимает </w:t>
      </w:r>
      <w:r w:rsidRPr="00191C72">
        <w:rPr>
          <w:rFonts w:ascii="Times New Roman" w:hAnsi="Times New Roman" w:cs="Times New Roman"/>
          <w:sz w:val="28"/>
          <w:szCs w:val="28"/>
        </w:rPr>
        <w:t>не более трех рабочих дней.</w:t>
      </w:r>
    </w:p>
    <w:p w14:paraId="41A728E9" w14:textId="77777777" w:rsidR="00B129AA" w:rsidRDefault="00B129AA" w:rsidP="00B1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79BEB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456576E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608FC21A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6164A26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0273A1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1BEC7D98" w14:textId="77777777" w:rsidR="0093296D" w:rsidRPr="00443297" w:rsidRDefault="0093296D" w:rsidP="0093296D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5A9ADFA6" w14:textId="77777777" w:rsidR="0093296D" w:rsidRPr="00C442CB" w:rsidRDefault="0093296D" w:rsidP="00932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F8AC1C0" w14:textId="77777777" w:rsidR="0093296D" w:rsidRPr="00F01E3F" w:rsidRDefault="0093296D" w:rsidP="00F01E3F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sectPr w:rsidR="0093296D" w:rsidRPr="00F01E3F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E9B41" w14:textId="77777777" w:rsidR="00427D92" w:rsidRDefault="00427D92" w:rsidP="008D0144">
      <w:pPr>
        <w:spacing w:after="0" w:line="240" w:lineRule="auto"/>
      </w:pPr>
      <w:r>
        <w:separator/>
      </w:r>
    </w:p>
  </w:endnote>
  <w:endnote w:type="continuationSeparator" w:id="0">
    <w:p w14:paraId="616A6581" w14:textId="77777777" w:rsidR="00427D92" w:rsidRDefault="00427D92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D7E40" w14:textId="77777777" w:rsidR="00427D92" w:rsidRDefault="00427D92" w:rsidP="008D0144">
      <w:pPr>
        <w:spacing w:after="0" w:line="240" w:lineRule="auto"/>
      </w:pPr>
      <w:r>
        <w:separator/>
      </w:r>
    </w:p>
  </w:footnote>
  <w:footnote w:type="continuationSeparator" w:id="0">
    <w:p w14:paraId="195E5AF7" w14:textId="77777777" w:rsidR="00427D92" w:rsidRDefault="00427D92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C3327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E56CC"/>
    <w:rsid w:val="003F56B9"/>
    <w:rsid w:val="003F65E6"/>
    <w:rsid w:val="0042121A"/>
    <w:rsid w:val="00427D92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61E0D"/>
    <w:rsid w:val="0078136B"/>
    <w:rsid w:val="00781E97"/>
    <w:rsid w:val="007C5022"/>
    <w:rsid w:val="00807E7D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5BFD"/>
    <w:rsid w:val="009B7563"/>
    <w:rsid w:val="009C23D6"/>
    <w:rsid w:val="009D1FF9"/>
    <w:rsid w:val="009F36EB"/>
    <w:rsid w:val="00A0651F"/>
    <w:rsid w:val="00A171EC"/>
    <w:rsid w:val="00A35840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97176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2022-06-06T10:16:00Z</cp:lastPrinted>
  <dcterms:created xsi:type="dcterms:W3CDTF">2022-07-05T12:38:00Z</dcterms:created>
  <dcterms:modified xsi:type="dcterms:W3CDTF">2022-07-06T08:01:00Z</dcterms:modified>
</cp:coreProperties>
</file>